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15"/>
        <w:jc w:val="center"/>
        <w:spacing w:before="360"/>
        <w:widowControl w:val="off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1015"/>
        <w:jc w:val="center"/>
        <w:widowControl w:val="off"/>
        <w:rPr>
          <w:bCs/>
        </w:rPr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rPr>
          <w:bCs/>
        </w:rPr>
        <w:t xml:space="preserve">по рассмотрению вторых частей заявок </w:t>
      </w:r>
      <w:r>
        <w:rPr>
          <w:bCs/>
        </w:rPr>
        <w:t xml:space="preserve">на участие в </w:t>
      </w:r>
      <w:r>
        <w:rPr>
          <w:bCs/>
        </w:rPr>
        <w:t xml:space="preserve">закупке</w:t>
      </w:r>
      <w:r>
        <w:rPr>
          <w:bCs/>
        </w:rPr>
      </w:r>
      <w:r>
        <w:rPr>
          <w:bCs/>
        </w:rPr>
      </w:r>
    </w:p>
    <w:p>
      <w:pPr>
        <w:pStyle w:val="1015"/>
        <w:jc w:val="center"/>
        <w:spacing w:before="240"/>
        <w:widowControl w:val="off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1015"/>
              <w:spacing w:before="120"/>
              <w:widowControl w:val="off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№ 220218 П2Ч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1015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конкурс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1015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:b/>
                <w14:ligatures w14:val="none"/>
              </w:rPr>
            </w:pPr>
            <w:r>
              <w:t xml:space="preserve">Товары канцелярские</w:t>
            </w:r>
            <w:r>
              <w:t xml:space="preserve"> </w:t>
            </w:r>
            <w:r>
              <w:t xml:space="preserve">для нужд </w:t>
            </w:r>
            <w:r>
              <w:t xml:space="preserve">АО </w:t>
            </w:r>
            <w:r>
              <w:t xml:space="preserve">«</w:t>
            </w:r>
            <w:r>
              <w:t xml:space="preserve">Петербургская сбытовая компания</w:t>
            </w:r>
            <w:r>
              <w:t xml:space="preserve">»</w:t>
            </w:r>
            <w:r>
              <w:rPr>
                <w:b/>
                <w14:ligatures w14:val="none"/>
              </w:rPr>
            </w:r>
            <w:r>
              <w:rPr>
                <w:b/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1015"/>
              <w:spacing w:before="120"/>
              <w:widowControl w:val="off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«17» ноября 2025г. 09:00 (</w:t>
            </w:r>
            <w:r>
              <w:t xml:space="preserve">по московскому времени</w:t>
            </w:r>
            <w:r>
              <w:t xml:space="preserve">)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1015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«17» ноября 2025г.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1015"/>
              <w:spacing w:before="120"/>
              <w:widowControl w:val="off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1 607 062,30</w:t>
            </w:r>
            <w:r>
              <w:t xml:space="preserve"> в рублях (без НДС)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1015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да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1015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В соответствии с Закупочной документацией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</w:tbl>
    <w:p>
      <w:pPr>
        <w:ind w:firstLine="0"/>
        <w:spacing w:before="120" w:after="120"/>
        <w:widowControl w:val="off"/>
        <w:rPr>
          <w:b/>
          <w:bCs/>
        </w:rPr>
      </w:pPr>
      <w:r>
        <w:rPr>
          <w:b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1015"/>
        <w:ind w:firstLine="0"/>
        <w:spacing w:before="120" w:after="120"/>
        <w:widowControl w:val="off"/>
        <w:rPr>
          <w:b/>
          <w:bCs/>
          <w:highlight w:val="none"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1015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</w:t>
      </w:r>
      <w:r>
        <w:t xml:space="preserve">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о:</w:t>
      </w:r>
      <w:r>
        <w:t xml:space="preserve"> </w:t>
      </w:r>
      <w:r/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/>
        <w:trPr>
          <w:trHeight w:val="473"/>
          <w:tblHeader/>
        </w:trPr>
        <w:tc>
          <w:tcPr>
            <w:shd w:val="clear" w:color="ffffff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1015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15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1015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Порядковый номер</w:t>
            </w:r>
            <w:r>
              <w:rPr>
                <w:sz w:val="22"/>
                <w:szCs w:val="22"/>
              </w:rPr>
              <w:t xml:space="preserve">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1015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75"/>
          <w:tblHeader/>
        </w:trPr>
        <w:tc>
          <w:tcPr>
            <w:shd w:val="clear" w:color="ffffff" w:fill="bfbfbf"/>
            <w:tcW w:w="564" w:type="dxa"/>
            <w:vAlign w:val="center"/>
            <w:textDirection w:val="lrTb"/>
            <w:noWrap w:val="false"/>
          </w:tcPr>
          <w:p>
            <w:pPr>
              <w:pStyle w:val="1015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4114" w:type="dxa"/>
            <w:vAlign w:val="center"/>
            <w:textDirection w:val="lrTb"/>
            <w:noWrap w:val="false"/>
          </w:tcPr>
          <w:p>
            <w:pPr>
              <w:pStyle w:val="1015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5245" w:type="dxa"/>
            <w:vAlign w:val="center"/>
            <w:textDirection w:val="lrTb"/>
            <w:noWrap w:val="false"/>
          </w:tcPr>
          <w:p>
            <w:pPr>
              <w:pStyle w:val="1015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5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1015"/>
              <w:numPr>
                <w:ilvl w:val="0"/>
                <w:numId w:val="35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rPr>
                <w:color w:val="000000" w:themeColor="text1"/>
                <w:sz w:val="20"/>
                <w:szCs w:val="20"/>
                <w14:ligatures w14:val="none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Участник № 1</w:t>
            </w:r>
            <w:r>
              <w:rPr>
                <w:color w:val="000000" w:themeColor="text1"/>
                <w:sz w:val="20"/>
                <w:szCs w:val="20"/>
                <w14:ligatures w14:val="none"/>
              </w:rPr>
            </w:r>
            <w:r>
              <w:rPr>
                <w:color w:val="000000" w:themeColor="text1"/>
                <w:sz w:val="20"/>
                <w:szCs w:val="20"/>
                <w14:ligatures w14:val="none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rPr>
                <w:color w:val="000000" w:themeColor="text1"/>
                <w:sz w:val="20"/>
                <w:szCs w:val="20"/>
                <w14:ligatures w14:val="none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  <w:t xml:space="preserve">17.10.2025 17:10:09</w:t>
            </w:r>
            <w:r>
              <w:rPr>
                <w:color w:val="000000" w:themeColor="text1"/>
                <w:sz w:val="20"/>
                <w:szCs w:val="20"/>
                <w14:ligatures w14:val="none"/>
              </w:rPr>
            </w:r>
            <w:r>
              <w:rPr>
                <w:color w:val="000000" w:themeColor="text1"/>
                <w:sz w:val="20"/>
                <w:szCs w:val="20"/>
                <w14:ligatures w14:val="none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1015"/>
              <w:numPr>
                <w:ilvl w:val="0"/>
                <w:numId w:val="35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rPr>
                <w:color w:val="000000" w:themeColor="text1"/>
                <w:sz w:val="20"/>
                <w:szCs w:val="20"/>
                <w14:ligatures w14:val="none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Участник № 2</w:t>
            </w:r>
            <w:r>
              <w:rPr>
                <w:color w:val="000000" w:themeColor="text1"/>
                <w:sz w:val="20"/>
                <w:szCs w:val="20"/>
                <w14:ligatures w14:val="none"/>
              </w:rPr>
            </w:r>
            <w:r>
              <w:rPr>
                <w:color w:val="000000" w:themeColor="text1"/>
                <w:sz w:val="20"/>
                <w:szCs w:val="20"/>
                <w14:ligatures w14:val="none"/>
              </w:rPr>
            </w:r>
          </w:p>
        </w:tc>
        <w:tc>
          <w:tcPr>
            <w:tcW w:w="5245" w:type="dxa"/>
            <w:vAlign w:val="top"/>
            <w:textDirection w:val="lrTb"/>
            <w:noWrap w:val="false"/>
          </w:tcPr>
          <w:p>
            <w:pPr>
              <w:rPr>
                <w:color w:val="000000" w:themeColor="text1"/>
                <w:sz w:val="20"/>
                <w:szCs w:val="20"/>
                <w14:ligatures w14:val="none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  <w:t xml:space="preserve">20.10.2025 11:23:08</w:t>
            </w:r>
            <w:r>
              <w:rPr>
                <w:color w:val="000000" w:themeColor="text1"/>
                <w:sz w:val="20"/>
                <w:szCs w:val="20"/>
                <w14:ligatures w14:val="none"/>
              </w:rPr>
            </w:r>
            <w:r>
              <w:rPr>
                <w:color w:val="000000" w:themeColor="text1"/>
                <w:sz w:val="20"/>
                <w:szCs w:val="20"/>
                <w14:ligatures w14:val="none"/>
              </w:rPr>
            </w:r>
          </w:p>
        </w:tc>
      </w:tr>
    </w:tbl>
    <w:p>
      <w:pPr>
        <w:pStyle w:val="1015"/>
        <w:spacing w:before="120" w:after="120"/>
        <w:widowControl w:val="off"/>
      </w:pPr>
      <w:r/>
      <w:r/>
    </w:p>
    <w:p>
      <w:pPr>
        <w:pStyle w:val="1015"/>
        <w:spacing w:before="120" w:after="120"/>
        <w:widowControl w:val="off"/>
        <w:rPr>
          <w:b/>
        </w:rPr>
      </w:pPr>
      <w:r>
        <w:rPr>
          <w:b/>
        </w:rPr>
        <w:t xml:space="preserve">Вопрос 1 повестки:</w:t>
      </w:r>
      <w:r>
        <w:rPr>
          <w:b/>
        </w:rPr>
      </w:r>
      <w:r>
        <w:rPr>
          <w:b/>
        </w:rPr>
      </w:r>
    </w:p>
    <w:p>
      <w:pPr>
        <w:pStyle w:val="1015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t xml:space="preserve"> </w:t>
      </w:r>
      <w:r>
        <w:t xml:space="preserve">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1015"/>
        <w:ind w:firstLine="709"/>
        <w:jc w:val="both"/>
        <w:spacing w:before="120" w:after="120"/>
        <w:widowControl w:val="off"/>
      </w:pPr>
      <w:r>
        <w:t xml:space="preserve">Члены </w:t>
      </w:r>
      <w:r>
        <w:t xml:space="preserve">Закупоч</w:t>
      </w:r>
      <w:r>
        <w:t xml:space="preserve">ной</w:t>
      </w:r>
      <w:r>
        <w:t xml:space="preserve"> комиссии изучили поступившие </w:t>
      </w:r>
      <w:r>
        <w:t xml:space="preserve">заявки</w:t>
      </w:r>
      <w:r>
        <w:t xml:space="preserve">. Результаты оценки сведены в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1015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 </w:t>
      </w:r>
      <w:r>
        <w:t xml:space="preserve">(приложение №1)</w:t>
      </w:r>
      <w:r>
        <w:t xml:space="preserve">.</w:t>
      </w:r>
      <w:r/>
    </w:p>
    <w:p>
      <w:pPr>
        <w:pStyle w:val="1015"/>
        <w:spacing w:before="120" w:after="120"/>
        <w:widowControl w:val="off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2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1015"/>
        <w:ind w:firstLine="709"/>
        <w:jc w:val="both"/>
        <w:widowControl w:val="off"/>
      </w:pPr>
      <w:r>
        <w:t xml:space="preserve">Предлагается </w:t>
      </w: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</w:t>
      </w:r>
      <w:r>
        <w:t xml:space="preserve">.</w:t>
      </w:r>
      <w:r/>
    </w:p>
    <w:p>
      <w:pPr>
        <w:pStyle w:val="1015"/>
        <w:ind w:firstLine="708"/>
        <w:jc w:val="both"/>
        <w:widowControl w:val="off"/>
      </w:pPr>
      <w:r/>
      <w:r/>
    </w:p>
    <w:p>
      <w:pPr>
        <w:pStyle w:val="1015"/>
        <w:ind w:firstLine="709"/>
        <w:spacing w:before="120" w:after="120"/>
        <w:widowControl w:val="off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1015"/>
        <w:numPr>
          <w:ilvl w:val="0"/>
          <w:numId w:val="34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1015"/>
        <w:numPr>
          <w:ilvl w:val="0"/>
          <w:numId w:val="34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  <w:r>
        <w:rPr>
          <w:color w:val="548dd4"/>
        </w:rPr>
        <w:t xml:space="preserve"> </w:t>
      </w:r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440" w:right="850" w:bottom="1134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0"/>
      <w:jc w:val="center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1"/>
      </w:pBdr>
    </w:pPr>
    <w:r>
      <w:rPr>
        <w:i/>
        <w:color w:val="548dd4"/>
        <w:sz w:val="20"/>
        <w:szCs w:val="20"/>
      </w:rPr>
      <w:t xml:space="preserve"> </w:t>
    </w: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0"/>
      <w:jc w:val="center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1"/>
      </w:pBdr>
    </w:pPr>
    <w:r>
      <w:rPr>
        <w:i/>
        <w:color w:val="548dd4"/>
        <w:sz w:val="20"/>
        <w:szCs w:val="20"/>
      </w:rPr>
      <w:t xml:space="preserve"> </w:t>
    </w: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1015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1015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1015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1015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102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1035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37">
    <w:name w:val="Heading 1"/>
    <w:basedOn w:val="1015"/>
    <w:next w:val="1015"/>
    <w:link w:val="83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38">
    <w:name w:val="Heading 1 Char"/>
    <w:link w:val="837"/>
    <w:uiPriority w:val="9"/>
    <w:rPr>
      <w:rFonts w:ascii="Arial" w:hAnsi="Arial" w:eastAsia="Arial" w:cs="Arial"/>
      <w:sz w:val="40"/>
      <w:szCs w:val="40"/>
    </w:rPr>
  </w:style>
  <w:style w:type="paragraph" w:styleId="839">
    <w:name w:val="Heading 2"/>
    <w:basedOn w:val="1015"/>
    <w:next w:val="1015"/>
    <w:link w:val="84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40">
    <w:name w:val="Heading 2 Char"/>
    <w:link w:val="839"/>
    <w:uiPriority w:val="9"/>
    <w:rPr>
      <w:rFonts w:ascii="Arial" w:hAnsi="Arial" w:eastAsia="Arial" w:cs="Arial"/>
      <w:sz w:val="34"/>
    </w:rPr>
  </w:style>
  <w:style w:type="paragraph" w:styleId="841">
    <w:name w:val="Heading 3"/>
    <w:basedOn w:val="1015"/>
    <w:next w:val="1015"/>
    <w:link w:val="84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42">
    <w:name w:val="Heading 3 Char"/>
    <w:link w:val="841"/>
    <w:uiPriority w:val="9"/>
    <w:rPr>
      <w:rFonts w:ascii="Arial" w:hAnsi="Arial" w:eastAsia="Arial" w:cs="Arial"/>
      <w:sz w:val="30"/>
      <w:szCs w:val="30"/>
    </w:rPr>
  </w:style>
  <w:style w:type="paragraph" w:styleId="843">
    <w:name w:val="Heading 4"/>
    <w:basedOn w:val="1015"/>
    <w:next w:val="1015"/>
    <w:link w:val="84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44">
    <w:name w:val="Heading 4 Char"/>
    <w:link w:val="843"/>
    <w:uiPriority w:val="9"/>
    <w:rPr>
      <w:rFonts w:ascii="Arial" w:hAnsi="Arial" w:eastAsia="Arial" w:cs="Arial"/>
      <w:b/>
      <w:bCs/>
      <w:sz w:val="26"/>
      <w:szCs w:val="26"/>
    </w:rPr>
  </w:style>
  <w:style w:type="paragraph" w:styleId="845">
    <w:name w:val="Heading 5"/>
    <w:basedOn w:val="1015"/>
    <w:next w:val="1015"/>
    <w:link w:val="84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46">
    <w:name w:val="Heading 5 Char"/>
    <w:link w:val="845"/>
    <w:uiPriority w:val="9"/>
    <w:rPr>
      <w:rFonts w:ascii="Arial" w:hAnsi="Arial" w:eastAsia="Arial" w:cs="Arial"/>
      <w:b/>
      <w:bCs/>
      <w:sz w:val="24"/>
      <w:szCs w:val="24"/>
    </w:rPr>
  </w:style>
  <w:style w:type="paragraph" w:styleId="847">
    <w:name w:val="Heading 6"/>
    <w:basedOn w:val="1015"/>
    <w:next w:val="1015"/>
    <w:link w:val="84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48">
    <w:name w:val="Heading 6 Char"/>
    <w:link w:val="847"/>
    <w:uiPriority w:val="9"/>
    <w:rPr>
      <w:rFonts w:ascii="Arial" w:hAnsi="Arial" w:eastAsia="Arial" w:cs="Arial"/>
      <w:b/>
      <w:bCs/>
      <w:sz w:val="22"/>
      <w:szCs w:val="22"/>
    </w:rPr>
  </w:style>
  <w:style w:type="paragraph" w:styleId="849">
    <w:name w:val="Heading 7"/>
    <w:basedOn w:val="1015"/>
    <w:next w:val="1015"/>
    <w:link w:val="8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50">
    <w:name w:val="Heading 7 Char"/>
    <w:link w:val="84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51">
    <w:name w:val="Heading 8"/>
    <w:basedOn w:val="1015"/>
    <w:next w:val="1015"/>
    <w:link w:val="85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52">
    <w:name w:val="Heading 8 Char"/>
    <w:link w:val="851"/>
    <w:uiPriority w:val="9"/>
    <w:rPr>
      <w:rFonts w:ascii="Arial" w:hAnsi="Arial" w:eastAsia="Arial" w:cs="Arial"/>
      <w:i/>
      <w:iCs/>
      <w:sz w:val="22"/>
      <w:szCs w:val="22"/>
    </w:rPr>
  </w:style>
  <w:style w:type="paragraph" w:styleId="853">
    <w:name w:val="Heading 9"/>
    <w:basedOn w:val="1015"/>
    <w:next w:val="1015"/>
    <w:link w:val="8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54">
    <w:name w:val="Heading 9 Char"/>
    <w:link w:val="853"/>
    <w:uiPriority w:val="9"/>
    <w:rPr>
      <w:rFonts w:ascii="Arial" w:hAnsi="Arial" w:eastAsia="Arial" w:cs="Arial"/>
      <w:i/>
      <w:iCs/>
      <w:sz w:val="21"/>
      <w:szCs w:val="21"/>
    </w:rPr>
  </w:style>
  <w:style w:type="paragraph" w:styleId="855">
    <w:name w:val="List Paragraph"/>
    <w:basedOn w:val="1015"/>
    <w:uiPriority w:val="34"/>
    <w:qFormat/>
    <w:pPr>
      <w:contextualSpacing/>
      <w:ind w:left="720"/>
    </w:pPr>
  </w:style>
  <w:style w:type="paragraph" w:styleId="856">
    <w:name w:val="No Spacing"/>
    <w:uiPriority w:val="1"/>
    <w:qFormat/>
    <w:pPr>
      <w:spacing w:before="0" w:after="0" w:line="240" w:lineRule="auto"/>
    </w:pPr>
  </w:style>
  <w:style w:type="paragraph" w:styleId="857">
    <w:name w:val="Title"/>
    <w:basedOn w:val="1015"/>
    <w:next w:val="1015"/>
    <w:link w:val="8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58">
    <w:name w:val="Title Char"/>
    <w:link w:val="857"/>
    <w:uiPriority w:val="10"/>
    <w:rPr>
      <w:sz w:val="48"/>
      <w:szCs w:val="48"/>
    </w:rPr>
  </w:style>
  <w:style w:type="paragraph" w:styleId="859">
    <w:name w:val="Subtitle"/>
    <w:basedOn w:val="1015"/>
    <w:next w:val="1015"/>
    <w:link w:val="860"/>
    <w:uiPriority w:val="11"/>
    <w:qFormat/>
    <w:pPr>
      <w:spacing w:before="200" w:after="200"/>
    </w:pPr>
    <w:rPr>
      <w:sz w:val="24"/>
      <w:szCs w:val="24"/>
    </w:rPr>
  </w:style>
  <w:style w:type="character" w:styleId="860">
    <w:name w:val="Subtitle Char"/>
    <w:link w:val="859"/>
    <w:uiPriority w:val="11"/>
    <w:rPr>
      <w:sz w:val="24"/>
      <w:szCs w:val="24"/>
    </w:rPr>
  </w:style>
  <w:style w:type="paragraph" w:styleId="861">
    <w:name w:val="Quote"/>
    <w:basedOn w:val="1015"/>
    <w:next w:val="1015"/>
    <w:link w:val="862"/>
    <w:uiPriority w:val="29"/>
    <w:qFormat/>
    <w:pPr>
      <w:ind w:left="720" w:right="720"/>
    </w:pPr>
    <w:rPr>
      <w:i/>
    </w:rPr>
  </w:style>
  <w:style w:type="character" w:styleId="862">
    <w:name w:val="Quote Char"/>
    <w:link w:val="861"/>
    <w:uiPriority w:val="29"/>
    <w:rPr>
      <w:i/>
    </w:rPr>
  </w:style>
  <w:style w:type="paragraph" w:styleId="863">
    <w:name w:val="Intense Quote"/>
    <w:basedOn w:val="1015"/>
    <w:next w:val="1015"/>
    <w:link w:val="8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64">
    <w:name w:val="Intense Quote Char"/>
    <w:link w:val="863"/>
    <w:uiPriority w:val="30"/>
    <w:rPr>
      <w:i/>
    </w:rPr>
  </w:style>
  <w:style w:type="paragraph" w:styleId="865">
    <w:name w:val="Header"/>
    <w:basedOn w:val="1015"/>
    <w:link w:val="8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66">
    <w:name w:val="Header Char"/>
    <w:link w:val="865"/>
    <w:uiPriority w:val="99"/>
  </w:style>
  <w:style w:type="paragraph" w:styleId="867">
    <w:name w:val="Footer"/>
    <w:basedOn w:val="1015"/>
    <w:link w:val="8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68">
    <w:name w:val="Footer Char"/>
    <w:link w:val="867"/>
    <w:uiPriority w:val="99"/>
  </w:style>
  <w:style w:type="paragraph" w:styleId="869">
    <w:name w:val="Caption"/>
    <w:basedOn w:val="1015"/>
    <w:next w:val="1015"/>
    <w:link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70">
    <w:name w:val="Caption Char"/>
    <w:link w:val="869"/>
    <w:uiPriority w:val="35"/>
    <w:rPr>
      <w:b/>
      <w:bCs/>
      <w:color w:val="4f81bd" w:themeColor="accent1"/>
      <w:sz w:val="18"/>
      <w:szCs w:val="18"/>
    </w:rPr>
  </w:style>
  <w:style w:type="table" w:styleId="87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7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7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7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7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0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0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0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0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0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0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0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0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0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1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1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1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1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1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1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3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3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3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3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3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4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4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6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6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6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6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6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6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6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7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7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7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7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7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7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7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7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7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7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8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8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8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8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8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8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8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8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8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8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9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9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9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9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9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9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9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97">
    <w:name w:val="Hyperlink"/>
    <w:uiPriority w:val="99"/>
    <w:unhideWhenUsed/>
    <w:rPr>
      <w:color w:val="0000ff" w:themeColor="hyperlink"/>
      <w:u w:val="single"/>
    </w:rPr>
  </w:style>
  <w:style w:type="paragraph" w:styleId="998">
    <w:name w:val="footnote text"/>
    <w:basedOn w:val="1015"/>
    <w:link w:val="999"/>
    <w:uiPriority w:val="99"/>
    <w:semiHidden/>
    <w:unhideWhenUsed/>
    <w:pPr>
      <w:spacing w:after="40" w:line="240" w:lineRule="auto"/>
    </w:pPr>
    <w:rPr>
      <w:sz w:val="18"/>
    </w:rPr>
  </w:style>
  <w:style w:type="character" w:styleId="999">
    <w:name w:val="Footnote Text Char"/>
    <w:link w:val="998"/>
    <w:uiPriority w:val="99"/>
    <w:rPr>
      <w:sz w:val="18"/>
    </w:rPr>
  </w:style>
  <w:style w:type="character" w:styleId="1000">
    <w:name w:val="footnote reference"/>
    <w:uiPriority w:val="99"/>
    <w:unhideWhenUsed/>
    <w:rPr>
      <w:vertAlign w:val="superscript"/>
    </w:rPr>
  </w:style>
  <w:style w:type="paragraph" w:styleId="1001">
    <w:name w:val="endnote text"/>
    <w:basedOn w:val="1015"/>
    <w:link w:val="1002"/>
    <w:uiPriority w:val="99"/>
    <w:semiHidden/>
    <w:unhideWhenUsed/>
    <w:pPr>
      <w:spacing w:after="0" w:line="240" w:lineRule="auto"/>
    </w:pPr>
    <w:rPr>
      <w:sz w:val="20"/>
    </w:rPr>
  </w:style>
  <w:style w:type="character" w:styleId="1002">
    <w:name w:val="Endnote Text Char"/>
    <w:link w:val="1001"/>
    <w:uiPriority w:val="99"/>
    <w:rPr>
      <w:sz w:val="20"/>
    </w:rPr>
  </w:style>
  <w:style w:type="character" w:styleId="1003">
    <w:name w:val="endnote reference"/>
    <w:uiPriority w:val="99"/>
    <w:semiHidden/>
    <w:unhideWhenUsed/>
    <w:rPr>
      <w:vertAlign w:val="superscript"/>
    </w:rPr>
  </w:style>
  <w:style w:type="paragraph" w:styleId="1004">
    <w:name w:val="toc 1"/>
    <w:basedOn w:val="1015"/>
    <w:next w:val="1015"/>
    <w:uiPriority w:val="39"/>
    <w:unhideWhenUsed/>
    <w:pPr>
      <w:ind w:left="0" w:right="0" w:firstLine="0"/>
      <w:spacing w:after="57"/>
    </w:pPr>
  </w:style>
  <w:style w:type="paragraph" w:styleId="1005">
    <w:name w:val="toc 2"/>
    <w:basedOn w:val="1015"/>
    <w:next w:val="1015"/>
    <w:uiPriority w:val="39"/>
    <w:unhideWhenUsed/>
    <w:pPr>
      <w:ind w:left="283" w:right="0" w:firstLine="0"/>
      <w:spacing w:after="57"/>
    </w:pPr>
  </w:style>
  <w:style w:type="paragraph" w:styleId="1006">
    <w:name w:val="toc 3"/>
    <w:basedOn w:val="1015"/>
    <w:next w:val="1015"/>
    <w:uiPriority w:val="39"/>
    <w:unhideWhenUsed/>
    <w:pPr>
      <w:ind w:left="567" w:right="0" w:firstLine="0"/>
      <w:spacing w:after="57"/>
    </w:pPr>
  </w:style>
  <w:style w:type="paragraph" w:styleId="1007">
    <w:name w:val="toc 4"/>
    <w:basedOn w:val="1015"/>
    <w:next w:val="1015"/>
    <w:uiPriority w:val="39"/>
    <w:unhideWhenUsed/>
    <w:pPr>
      <w:ind w:left="850" w:right="0" w:firstLine="0"/>
      <w:spacing w:after="57"/>
    </w:pPr>
  </w:style>
  <w:style w:type="paragraph" w:styleId="1008">
    <w:name w:val="toc 5"/>
    <w:basedOn w:val="1015"/>
    <w:next w:val="1015"/>
    <w:uiPriority w:val="39"/>
    <w:unhideWhenUsed/>
    <w:pPr>
      <w:ind w:left="1134" w:right="0" w:firstLine="0"/>
      <w:spacing w:after="57"/>
    </w:pPr>
  </w:style>
  <w:style w:type="paragraph" w:styleId="1009">
    <w:name w:val="toc 6"/>
    <w:basedOn w:val="1015"/>
    <w:next w:val="1015"/>
    <w:uiPriority w:val="39"/>
    <w:unhideWhenUsed/>
    <w:pPr>
      <w:ind w:left="1417" w:right="0" w:firstLine="0"/>
      <w:spacing w:after="57"/>
    </w:pPr>
  </w:style>
  <w:style w:type="paragraph" w:styleId="1010">
    <w:name w:val="toc 7"/>
    <w:basedOn w:val="1015"/>
    <w:next w:val="1015"/>
    <w:uiPriority w:val="39"/>
    <w:unhideWhenUsed/>
    <w:pPr>
      <w:ind w:left="1701" w:right="0" w:firstLine="0"/>
      <w:spacing w:after="57"/>
    </w:pPr>
  </w:style>
  <w:style w:type="paragraph" w:styleId="1011">
    <w:name w:val="toc 8"/>
    <w:basedOn w:val="1015"/>
    <w:next w:val="1015"/>
    <w:uiPriority w:val="39"/>
    <w:unhideWhenUsed/>
    <w:pPr>
      <w:ind w:left="1984" w:right="0" w:firstLine="0"/>
      <w:spacing w:after="57"/>
    </w:pPr>
  </w:style>
  <w:style w:type="paragraph" w:styleId="1012">
    <w:name w:val="toc 9"/>
    <w:basedOn w:val="1015"/>
    <w:next w:val="1015"/>
    <w:uiPriority w:val="39"/>
    <w:unhideWhenUsed/>
    <w:pPr>
      <w:ind w:left="2268" w:right="0" w:firstLine="0"/>
      <w:spacing w:after="57"/>
    </w:pPr>
  </w:style>
  <w:style w:type="paragraph" w:styleId="1013">
    <w:name w:val="TOC Heading"/>
    <w:uiPriority w:val="39"/>
    <w:unhideWhenUsed/>
  </w:style>
  <w:style w:type="paragraph" w:styleId="1014">
    <w:name w:val="table of figures"/>
    <w:basedOn w:val="1015"/>
    <w:next w:val="1015"/>
    <w:uiPriority w:val="99"/>
    <w:unhideWhenUsed/>
    <w:pPr>
      <w:spacing w:after="0" w:afterAutospacing="0"/>
    </w:pPr>
  </w:style>
  <w:style w:type="paragraph" w:styleId="1015" w:default="1">
    <w:name w:val="Normal"/>
    <w:next w:val="1015"/>
    <w:link w:val="1015"/>
    <w:qFormat/>
    <w:rPr>
      <w:sz w:val="24"/>
      <w:szCs w:val="24"/>
      <w:lang w:val="ru-RU" w:eastAsia="ru-RU" w:bidi="ar-SA"/>
    </w:rPr>
  </w:style>
  <w:style w:type="paragraph" w:styleId="1016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1015"/>
    <w:next w:val="1015"/>
    <w:link w:val="1015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1017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1015"/>
    <w:next w:val="1015"/>
    <w:link w:val="1039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1018">
    <w:name w:val="Основной шрифт абзаца"/>
    <w:next w:val="1018"/>
    <w:link w:val="1015"/>
    <w:semiHidden/>
  </w:style>
  <w:style w:type="table" w:styleId="1019">
    <w:name w:val="Обычная таблица"/>
    <w:next w:val="1019"/>
    <w:link w:val="1015"/>
    <w:semiHidden/>
    <w:tblPr/>
  </w:style>
  <w:style w:type="numbering" w:styleId="1020">
    <w:name w:val="Нет списка"/>
    <w:next w:val="1020"/>
    <w:link w:val="1015"/>
    <w:semiHidden/>
  </w:style>
  <w:style w:type="paragraph" w:styleId="1021">
    <w:name w:val="Default Paragraph Font Para Char Char Знак"/>
    <w:basedOn w:val="1015"/>
    <w:next w:val="1021"/>
    <w:link w:val="10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22">
    <w:name w:val="Верхний колонтитул"/>
    <w:basedOn w:val="1015"/>
    <w:next w:val="1022"/>
    <w:link w:val="1015"/>
    <w:pPr>
      <w:tabs>
        <w:tab w:val="center" w:pos="4677" w:leader="none"/>
        <w:tab w:val="right" w:pos="9355" w:leader="none"/>
      </w:tabs>
    </w:pPr>
  </w:style>
  <w:style w:type="character" w:styleId="1023">
    <w:name w:val="Номер страницы"/>
    <w:basedOn w:val="1018"/>
    <w:next w:val="1023"/>
    <w:link w:val="1015"/>
  </w:style>
  <w:style w:type="paragraph" w:styleId="1024">
    <w:name w:val="Таблица шапка"/>
    <w:basedOn w:val="1015"/>
    <w:next w:val="1024"/>
    <w:link w:val="1015"/>
    <w:pPr>
      <w:ind w:left="57" w:right="57"/>
      <w:keepNext/>
      <w:spacing w:before="40" w:after="40"/>
    </w:pPr>
    <w:rPr>
      <w:sz w:val="22"/>
      <w:szCs w:val="20"/>
    </w:rPr>
  </w:style>
  <w:style w:type="paragraph" w:styleId="1025">
    <w:name w:val="Таблица текст"/>
    <w:basedOn w:val="1015"/>
    <w:next w:val="1025"/>
    <w:link w:val="1015"/>
    <w:pPr>
      <w:ind w:left="57" w:right="57"/>
      <w:spacing w:before="40" w:after="40"/>
    </w:pPr>
    <w:rPr>
      <w:szCs w:val="20"/>
    </w:rPr>
  </w:style>
  <w:style w:type="character" w:styleId="1026">
    <w:name w:val="комментарий"/>
    <w:next w:val="1026"/>
    <w:link w:val="1015"/>
    <w:rPr>
      <w:b/>
      <w:i/>
      <w:shd w:val="clear" w:color="auto" w:fill="ffff99"/>
    </w:rPr>
  </w:style>
  <w:style w:type="paragraph" w:styleId="1027">
    <w:name w:val="Схема документа"/>
    <w:basedOn w:val="1015"/>
    <w:next w:val="1027"/>
    <w:link w:val="1015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028">
    <w:name w:val="Текст выноски"/>
    <w:basedOn w:val="1015"/>
    <w:next w:val="1028"/>
    <w:link w:val="1015"/>
    <w:semiHidden/>
    <w:rPr>
      <w:rFonts w:ascii="Tahoma" w:hAnsi="Tahoma" w:cs="Tahoma"/>
      <w:sz w:val="16"/>
      <w:szCs w:val="16"/>
    </w:rPr>
  </w:style>
  <w:style w:type="table" w:styleId="1029">
    <w:name w:val="Сетка таблицы"/>
    <w:basedOn w:val="1019"/>
    <w:next w:val="1029"/>
    <w:link w:val="1015"/>
    <w:pPr>
      <w:ind w:firstLine="567"/>
      <w:jc w:val="both"/>
      <w:spacing w:line="360" w:lineRule="auto"/>
    </w:pPr>
    <w:tblPr/>
  </w:style>
  <w:style w:type="paragraph" w:styleId="1030">
    <w:name w:val="Нижний колонтитул"/>
    <w:basedOn w:val="1015"/>
    <w:next w:val="1030"/>
    <w:link w:val="1033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1031">
    <w:name w:val="Комментраий Знак"/>
    <w:next w:val="1031"/>
    <w:link w:val="1015"/>
    <w:rPr>
      <w:i/>
      <w:color w:val="3366ff"/>
      <w:sz w:val="28"/>
      <w:szCs w:val="28"/>
      <w:lang w:val="ru-RU" w:eastAsia="ru-RU" w:bidi="ar-SA"/>
    </w:rPr>
  </w:style>
  <w:style w:type="table" w:styleId="1032">
    <w:name w:val="Сетка таблицы1"/>
    <w:basedOn w:val="1019"/>
    <w:next w:val="1029"/>
    <w:link w:val="1015"/>
    <w:tblPr/>
  </w:style>
  <w:style w:type="character" w:styleId="1033">
    <w:name w:val="Нижний колонтитул Знак"/>
    <w:next w:val="1033"/>
    <w:link w:val="1030"/>
    <w:uiPriority w:val="99"/>
    <w:rPr>
      <w:sz w:val="24"/>
      <w:szCs w:val="24"/>
    </w:rPr>
  </w:style>
  <w:style w:type="paragraph" w:styleId="1034">
    <w:name w:val="Обычный (веб)"/>
    <w:basedOn w:val="1015"/>
    <w:next w:val="1034"/>
    <w:link w:val="1015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1035">
    <w:name w:val="Подподпункт"/>
    <w:basedOn w:val="1015"/>
    <w:next w:val="1035"/>
    <w:link w:val="1036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1036">
    <w:name w:val="Подподпункт Знак"/>
    <w:next w:val="1036"/>
    <w:link w:val="1035"/>
    <w:rPr>
      <w:sz w:val="28"/>
    </w:rPr>
  </w:style>
  <w:style w:type="paragraph" w:styleId="1037">
    <w:name w:val="Абзац списка"/>
    <w:basedOn w:val="1015"/>
    <w:next w:val="1037"/>
    <w:link w:val="1015"/>
    <w:uiPriority w:val="34"/>
    <w:qFormat/>
    <w:pPr>
      <w:contextualSpacing/>
      <w:ind w:left="720"/>
      <w:widowControl w:val="off"/>
    </w:pPr>
  </w:style>
  <w:style w:type="character" w:styleId="1038">
    <w:name w:val="Font Style128"/>
    <w:next w:val="1038"/>
    <w:link w:val="1015"/>
    <w:rPr>
      <w:rFonts w:ascii="Times New Roman" w:hAnsi="Times New Roman" w:cs="Times New Roman"/>
      <w:color w:val="000000"/>
      <w:sz w:val="26"/>
      <w:szCs w:val="26"/>
    </w:rPr>
  </w:style>
  <w:style w:type="character" w:styleId="1039">
    <w:name w:val="Заголовок 2 Знак"/>
    <w:next w:val="1039"/>
    <w:link w:val="1017"/>
    <w:uiPriority w:val="99"/>
    <w:rPr>
      <w:b/>
      <w:sz w:val="32"/>
    </w:rPr>
  </w:style>
  <w:style w:type="paragraph" w:styleId="1040">
    <w:name w:val="Пункт"/>
    <w:basedOn w:val="1015"/>
    <w:next w:val="1040"/>
    <w:link w:val="1015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1041">
    <w:name w:val="Основной текст с отступом"/>
    <w:basedOn w:val="1015"/>
    <w:next w:val="1041"/>
    <w:link w:val="1042"/>
    <w:pPr>
      <w:ind w:left="-720"/>
      <w:jc w:val="both"/>
    </w:pPr>
    <w:rPr>
      <w:lang w:val="en-US" w:eastAsia="en-US"/>
    </w:rPr>
  </w:style>
  <w:style w:type="character" w:styleId="1042">
    <w:name w:val="Основной текст с отступом Знак"/>
    <w:next w:val="1042"/>
    <w:link w:val="1041"/>
    <w:rPr>
      <w:sz w:val="24"/>
      <w:szCs w:val="24"/>
    </w:rPr>
  </w:style>
  <w:style w:type="paragraph" w:styleId="1043">
    <w:name w:val="Нумерованный список"/>
    <w:basedOn w:val="1044"/>
    <w:next w:val="1043"/>
    <w:link w:val="1015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1044">
    <w:name w:val="Основной текст"/>
    <w:basedOn w:val="1015"/>
    <w:next w:val="1044"/>
    <w:link w:val="1045"/>
    <w:pPr>
      <w:spacing w:after="120"/>
    </w:pPr>
    <w:rPr>
      <w:lang w:val="en-US" w:eastAsia="en-US"/>
    </w:rPr>
  </w:style>
  <w:style w:type="character" w:styleId="1045">
    <w:name w:val="Основной текст Знак"/>
    <w:next w:val="1045"/>
    <w:link w:val="1044"/>
    <w:rPr>
      <w:sz w:val="24"/>
      <w:szCs w:val="24"/>
    </w:rPr>
  </w:style>
  <w:style w:type="character" w:styleId="1046">
    <w:name w:val="Знак примечания"/>
    <w:next w:val="1046"/>
    <w:link w:val="1015"/>
    <w:rPr>
      <w:sz w:val="16"/>
      <w:szCs w:val="16"/>
    </w:rPr>
  </w:style>
  <w:style w:type="paragraph" w:styleId="1047">
    <w:name w:val="Текст примечания"/>
    <w:basedOn w:val="1015"/>
    <w:next w:val="1047"/>
    <w:link w:val="1048"/>
    <w:rPr>
      <w:sz w:val="20"/>
      <w:szCs w:val="20"/>
    </w:rPr>
  </w:style>
  <w:style w:type="character" w:styleId="1048">
    <w:name w:val="Текст примечания Знак"/>
    <w:basedOn w:val="1018"/>
    <w:next w:val="1048"/>
    <w:link w:val="1047"/>
  </w:style>
  <w:style w:type="paragraph" w:styleId="1049">
    <w:name w:val="Тема примечания"/>
    <w:basedOn w:val="1047"/>
    <w:next w:val="1047"/>
    <w:link w:val="1050"/>
    <w:rPr>
      <w:b/>
      <w:bCs/>
      <w:lang w:val="en-US" w:eastAsia="en-US"/>
    </w:rPr>
  </w:style>
  <w:style w:type="character" w:styleId="1050">
    <w:name w:val="Тема примечания Знак"/>
    <w:next w:val="1050"/>
    <w:link w:val="1049"/>
    <w:rPr>
      <w:b/>
      <w:bCs/>
    </w:rPr>
  </w:style>
  <w:style w:type="character" w:styleId="1051" w:default="1">
    <w:name w:val="Default Paragraph Font"/>
    <w:uiPriority w:val="1"/>
    <w:semiHidden/>
    <w:unhideWhenUsed/>
  </w:style>
  <w:style w:type="numbering" w:styleId="1052" w:default="1">
    <w:name w:val="No List"/>
    <w:uiPriority w:val="99"/>
    <w:semiHidden/>
    <w:unhideWhenUsed/>
  </w:style>
  <w:style w:type="table" w:styleId="105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badanina_aa</cp:lastModifiedBy>
  <cp:revision>4</cp:revision>
  <dcterms:created xsi:type="dcterms:W3CDTF">2023-09-22T06:29:00Z</dcterms:created>
  <dcterms:modified xsi:type="dcterms:W3CDTF">2025-11-13T14:48:52Z</dcterms:modified>
  <cp:version>1048576</cp:version>
</cp:coreProperties>
</file>